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8A" w:rsidRDefault="00824A8A" w:rsidP="00824A8A">
      <w:pPr>
        <w:pBdr>
          <w:bottom w:val="single" w:sz="4" w:space="1" w:color="auto"/>
        </w:pBdr>
        <w:jc w:val="center"/>
        <w:rPr>
          <w:b/>
          <w:sz w:val="56"/>
          <w:szCs w:val="72"/>
        </w:rPr>
      </w:pPr>
      <w:bookmarkStart w:id="0" w:name="_GoBack"/>
      <w:bookmarkEnd w:id="0"/>
      <w:r>
        <w:rPr>
          <w:b/>
          <w:noProof/>
          <w:sz w:val="56"/>
          <w:szCs w:val="72"/>
          <w:lang w:eastAsia="en-AU" w:bidi="ar-SA"/>
        </w:rPr>
        <w:drawing>
          <wp:inline distT="0" distB="0" distL="0" distR="0" wp14:anchorId="51A3F64A" wp14:editId="1A2C4C7A">
            <wp:extent cx="1562735" cy="127715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Primary Logo_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30" cy="12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92" w:rsidRPr="00824A8A" w:rsidRDefault="00091E98" w:rsidP="004E5F92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Credit Card </w:t>
      </w:r>
      <w:r w:rsidR="004E5F92" w:rsidRPr="00824A8A">
        <w:rPr>
          <w:rFonts w:ascii="Tahoma" w:hAnsi="Tahoma" w:cs="Tahoma"/>
          <w:sz w:val="72"/>
          <w:szCs w:val="72"/>
        </w:rPr>
        <w:t>Policy</w:t>
      </w:r>
    </w:p>
    <w:p w:rsidR="00824A8A" w:rsidRDefault="00824A8A" w:rsidP="00824A8A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055"/>
        <w:gridCol w:w="1790"/>
        <w:gridCol w:w="1984"/>
        <w:gridCol w:w="1650"/>
      </w:tblGrid>
      <w:tr w:rsidR="00F25882" w:rsidRPr="00C228F9" w:rsidTr="0018080A">
        <w:trPr>
          <w:trHeight w:val="56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A" w:rsidRPr="00C228F9" w:rsidRDefault="00824A8A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A" w:rsidRPr="00C228F9" w:rsidRDefault="00824A8A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  <w:r w:rsidRPr="00C228F9">
              <w:rPr>
                <w:rFonts w:ascii="Arial" w:hAnsi="Arial"/>
                <w:lang w:eastAsia="en-US"/>
              </w:rPr>
              <w:t>Name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A" w:rsidRPr="00C228F9" w:rsidRDefault="00824A8A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  <w:r w:rsidRPr="00C228F9">
              <w:rPr>
                <w:rFonts w:ascii="Arial" w:hAnsi="Arial"/>
                <w:lang w:eastAsia="en-US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A" w:rsidRPr="00C228F9" w:rsidRDefault="00824A8A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  <w:r w:rsidRPr="00C228F9">
              <w:rPr>
                <w:rFonts w:ascii="Arial" w:hAnsi="Arial"/>
                <w:lang w:eastAsia="en-US"/>
              </w:rPr>
              <w:t>Signature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8A" w:rsidRPr="00C228F9" w:rsidRDefault="00824A8A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  <w:r w:rsidRPr="00C228F9">
              <w:rPr>
                <w:rFonts w:ascii="Arial" w:hAnsi="Arial"/>
                <w:lang w:eastAsia="en-US"/>
              </w:rPr>
              <w:t>Date</w:t>
            </w:r>
          </w:p>
        </w:tc>
      </w:tr>
      <w:tr w:rsidR="00F25882" w:rsidRPr="00C228F9" w:rsidTr="001808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b w:val="0"/>
                <w:lang w:eastAsia="en-US"/>
              </w:rPr>
            </w:pPr>
            <w:r>
              <w:rPr>
                <w:rFonts w:ascii="Arial" w:hAnsi="Arial"/>
                <w:b w:val="0"/>
                <w:lang w:eastAsia="en-US"/>
              </w:rPr>
              <w:t>Responsible</w:t>
            </w:r>
            <w:r w:rsidRPr="00C228F9">
              <w:rPr>
                <w:rFonts w:ascii="Arial" w:hAnsi="Arial"/>
                <w:b w:val="0"/>
                <w:lang w:eastAsia="en-US"/>
              </w:rPr>
              <w:t xml:space="preserve"> </w:t>
            </w:r>
            <w:r>
              <w:rPr>
                <w:rFonts w:ascii="Arial" w:hAnsi="Arial"/>
                <w:b w:val="0"/>
                <w:lang w:eastAsia="en-US"/>
              </w:rPr>
              <w:t>Officer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Default="00F25882" w:rsidP="00E27590">
            <w:pPr>
              <w:tabs>
                <w:tab w:val="left" w:pos="1980"/>
              </w:tabs>
              <w:spacing w:after="120"/>
              <w:ind w:right="-74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Vicki Sutton</w:t>
            </w:r>
          </w:p>
          <w:p w:rsidR="00D25571" w:rsidRPr="00931D18" w:rsidRDefault="00D25571" w:rsidP="00E2759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Default="00F25882" w:rsidP="00F25882">
            <w:pPr>
              <w:tabs>
                <w:tab w:val="left" w:pos="1980"/>
              </w:tabs>
              <w:spacing w:after="120"/>
              <w:ind w:right="-74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 xml:space="preserve">Finance Manager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</w:p>
        </w:tc>
      </w:tr>
      <w:tr w:rsidR="00F25882" w:rsidRPr="00C228F9" w:rsidTr="001808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b w:val="0"/>
                <w:lang w:eastAsia="en-US"/>
              </w:rPr>
            </w:pPr>
            <w:r w:rsidRPr="00C228F9">
              <w:rPr>
                <w:rFonts w:ascii="Arial" w:hAnsi="Arial"/>
                <w:b w:val="0"/>
                <w:lang w:eastAsia="en-US"/>
              </w:rPr>
              <w:t>Authorised By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Default="00F25882" w:rsidP="00E27590">
            <w:pPr>
              <w:tabs>
                <w:tab w:val="left" w:pos="1980"/>
              </w:tabs>
              <w:spacing w:before="360" w:after="120"/>
              <w:ind w:right="-74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John Scarce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Default="00D25571" w:rsidP="00E27590">
            <w:pPr>
              <w:tabs>
                <w:tab w:val="left" w:pos="1980"/>
              </w:tabs>
              <w:spacing w:before="360" w:after="120"/>
              <w:ind w:right="-74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General Manager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1" w:rsidRPr="00C228F9" w:rsidRDefault="00D25571" w:rsidP="00824A8A">
            <w:pPr>
              <w:pStyle w:val="GCCHeading"/>
              <w:ind w:left="0" w:right="-74" w:firstLine="0"/>
              <w:jc w:val="both"/>
              <w:rPr>
                <w:rFonts w:ascii="Arial" w:hAnsi="Arial"/>
                <w:lang w:eastAsia="en-US"/>
              </w:rPr>
            </w:pPr>
          </w:p>
        </w:tc>
      </w:tr>
    </w:tbl>
    <w:p w:rsidR="00824A8A" w:rsidRPr="00C228F9" w:rsidRDefault="00824A8A" w:rsidP="00824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EE4" w:rsidTr="00957CC1">
        <w:tc>
          <w:tcPr>
            <w:tcW w:w="9016" w:type="dxa"/>
            <w:gridSpan w:val="2"/>
          </w:tcPr>
          <w:p w:rsidR="00722EE4" w:rsidRPr="00722EE4" w:rsidRDefault="00722EE4" w:rsidP="00722EE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Document Revision History</w:t>
            </w: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Date adopted by Council: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Minute No: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Revision Number:</w:t>
            </w:r>
          </w:p>
        </w:tc>
        <w:tc>
          <w:tcPr>
            <w:tcW w:w="4508" w:type="dxa"/>
          </w:tcPr>
          <w:p w:rsidR="00722EE4" w:rsidRPr="00722EE4" w:rsidRDefault="001174CD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1</w:t>
            </w: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Previous Reviews:</w:t>
            </w:r>
          </w:p>
        </w:tc>
        <w:tc>
          <w:tcPr>
            <w:tcW w:w="4508" w:type="dxa"/>
          </w:tcPr>
          <w:p w:rsidR="00722EE4" w:rsidRPr="00722EE4" w:rsidRDefault="001174CD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N/A</w:t>
            </w: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Next Review Date: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Review Date: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Minute No: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Review Date: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722EE4" w:rsidTr="00722EE4">
        <w:tc>
          <w:tcPr>
            <w:tcW w:w="4508" w:type="dxa"/>
          </w:tcPr>
          <w:p w:rsidR="00722EE4" w:rsidRPr="00722EE4" w:rsidRDefault="00722EE4" w:rsidP="0059024D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Minute No:</w:t>
            </w:r>
          </w:p>
        </w:tc>
        <w:tc>
          <w:tcPr>
            <w:tcW w:w="4508" w:type="dxa"/>
          </w:tcPr>
          <w:p w:rsidR="00722EE4" w:rsidRPr="00722EE4" w:rsidRDefault="00722EE4" w:rsidP="001174CD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</w:tbl>
    <w:p w:rsidR="0059024D" w:rsidRDefault="0059024D" w:rsidP="0059024D">
      <w:pPr>
        <w:rPr>
          <w:lang w:eastAsia="en-AU"/>
        </w:rPr>
      </w:pPr>
    </w:p>
    <w:p w:rsidR="00D25571" w:rsidRDefault="00D25571" w:rsidP="00824A8A">
      <w:pPr>
        <w:rPr>
          <w:rFonts w:ascii="Arial" w:hAnsi="Arial" w:cs="Arial"/>
          <w:b/>
          <w:bCs/>
          <w:color w:val="000000"/>
          <w:sz w:val="36"/>
          <w:szCs w:val="36"/>
        </w:rPr>
        <w:sectPr w:rsidR="00D25571" w:rsidSect="00D310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4E5F92" w:rsidRPr="001C4F6C" w:rsidRDefault="004E5F92" w:rsidP="00824A8A">
      <w:pPr>
        <w:rPr>
          <w:rFonts w:ascii="Arial" w:hAnsi="Arial" w:cs="Arial"/>
          <w:sz w:val="24"/>
        </w:rPr>
      </w:pPr>
      <w:r w:rsidRPr="00824A8A">
        <w:rPr>
          <w:rFonts w:ascii="Tahoma" w:hAnsi="Tahoma" w:cs="Tahoma"/>
          <w:sz w:val="28"/>
        </w:rPr>
        <w:lastRenderedPageBreak/>
        <w:t>Contents</w:t>
      </w:r>
    </w:p>
    <w:p w:rsidR="001C4F6C" w:rsidRPr="001445A7" w:rsidRDefault="001C4F6C" w:rsidP="0018080A">
      <w:pPr>
        <w:pStyle w:val="ListParagraph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b/>
          <w:sz w:val="24"/>
        </w:rPr>
      </w:pPr>
      <w:r w:rsidRPr="001445A7">
        <w:rPr>
          <w:rFonts w:ascii="Arial" w:hAnsi="Arial" w:cs="Arial"/>
          <w:b/>
          <w:sz w:val="24"/>
        </w:rPr>
        <w:t>Purpose of Credit Cards</w:t>
      </w:r>
    </w:p>
    <w:p w:rsidR="001F7467" w:rsidRDefault="001F7467" w:rsidP="0018080A">
      <w:pPr>
        <w:spacing w:before="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bookmarkStart w:id="1" w:name="_Toc295378226"/>
      <w:bookmarkEnd w:id="1"/>
      <w:r w:rsidRPr="003A4D70">
        <w:rPr>
          <w:rFonts w:ascii="Arial" w:hAnsi="Arial" w:cs="Arial"/>
          <w:bCs/>
          <w:sz w:val="24"/>
          <w:szCs w:val="24"/>
        </w:rPr>
        <w:t xml:space="preserve">Murrumbidgee Council </w:t>
      </w:r>
      <w:r w:rsidR="0018080A" w:rsidRPr="003A4D70">
        <w:rPr>
          <w:rFonts w:ascii="Arial" w:hAnsi="Arial" w:cs="Arial"/>
          <w:bCs/>
          <w:sz w:val="24"/>
          <w:szCs w:val="24"/>
        </w:rPr>
        <w:t xml:space="preserve">credit cards </w:t>
      </w:r>
      <w:r w:rsidRPr="003A4D70">
        <w:rPr>
          <w:rFonts w:ascii="Arial" w:hAnsi="Arial" w:cs="Arial"/>
          <w:bCs/>
          <w:sz w:val="24"/>
          <w:szCs w:val="24"/>
        </w:rPr>
        <w:t>are issued to employees for the payment of appropriate business expenses.</w:t>
      </w:r>
    </w:p>
    <w:p w:rsidR="0018080A" w:rsidRPr="003A4D70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1F7467" w:rsidRPr="003A4D70" w:rsidRDefault="001F7467" w:rsidP="0018080A">
      <w:pPr>
        <w:spacing w:before="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3A4D70">
        <w:rPr>
          <w:rFonts w:ascii="Arial" w:hAnsi="Arial" w:cs="Arial"/>
          <w:bCs/>
          <w:sz w:val="24"/>
          <w:szCs w:val="24"/>
        </w:rPr>
        <w:t xml:space="preserve">Murrumbidgee Council </w:t>
      </w:r>
      <w:r w:rsidR="0018080A" w:rsidRPr="003A4D70">
        <w:rPr>
          <w:rFonts w:ascii="Arial" w:hAnsi="Arial" w:cs="Arial"/>
          <w:bCs/>
          <w:sz w:val="24"/>
          <w:szCs w:val="24"/>
        </w:rPr>
        <w:t xml:space="preserve">credit cards </w:t>
      </w:r>
      <w:r w:rsidRPr="003A4D70">
        <w:rPr>
          <w:rFonts w:ascii="Arial" w:hAnsi="Arial" w:cs="Arial"/>
          <w:bCs/>
          <w:sz w:val="24"/>
          <w:szCs w:val="24"/>
        </w:rPr>
        <w:t xml:space="preserve">may be used as a payment option, if effective and efficient, to settle procurement activities, including procurement of travel, approved business entertainment expenditure, and low value goods and services where Murrumbidgee Council </w:t>
      </w:r>
      <w:r w:rsidR="0018080A" w:rsidRPr="003A4D70">
        <w:rPr>
          <w:rFonts w:ascii="Arial" w:hAnsi="Arial" w:cs="Arial"/>
          <w:bCs/>
          <w:sz w:val="24"/>
          <w:szCs w:val="24"/>
        </w:rPr>
        <w:t xml:space="preserve">credit card </w:t>
      </w:r>
      <w:r w:rsidRPr="003A4D70">
        <w:rPr>
          <w:rFonts w:ascii="Arial" w:hAnsi="Arial" w:cs="Arial"/>
          <w:bCs/>
          <w:sz w:val="24"/>
          <w:szCs w:val="24"/>
        </w:rPr>
        <w:t>is the preferred method of payment.</w:t>
      </w:r>
    </w:p>
    <w:p w:rsidR="003A4D70" w:rsidRPr="003A4D70" w:rsidRDefault="003A4D70" w:rsidP="0018080A">
      <w:pPr>
        <w:spacing w:before="0"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18080A" w:rsidRDefault="00EA772D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is </w:t>
      </w:r>
      <w:r w:rsidR="003A4D70" w:rsidRPr="003A4D70">
        <w:rPr>
          <w:rFonts w:ascii="Arial" w:hAnsi="Arial" w:cs="Arial"/>
          <w:sz w:val="24"/>
          <w:szCs w:val="24"/>
        </w:rPr>
        <w:t xml:space="preserve">supported </w:t>
      </w:r>
      <w:r w:rsidR="003A4D70">
        <w:rPr>
          <w:rFonts w:ascii="Arial" w:hAnsi="Arial" w:cs="Arial"/>
          <w:sz w:val="24"/>
          <w:szCs w:val="24"/>
        </w:rPr>
        <w:t>by the Murrumbidgee Council Credit Card Procedure,</w:t>
      </w:r>
      <w:r w:rsidR="003A4D70" w:rsidRPr="003A4D70">
        <w:rPr>
          <w:rFonts w:ascii="Arial" w:hAnsi="Arial" w:cs="Arial"/>
          <w:sz w:val="24"/>
          <w:szCs w:val="24"/>
        </w:rPr>
        <w:t xml:space="preserve"> which is intended to ensure a clear and consistent understanding and implementation of this policy. </w:t>
      </w:r>
    </w:p>
    <w:p w:rsidR="0018080A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4D70" w:rsidRDefault="003A4D70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A4D70">
        <w:rPr>
          <w:rFonts w:ascii="Arial" w:hAnsi="Arial" w:cs="Arial"/>
          <w:sz w:val="24"/>
          <w:szCs w:val="24"/>
        </w:rPr>
        <w:t>Using a credit card is a means to engage i</w:t>
      </w:r>
      <w:r>
        <w:rPr>
          <w:rFonts w:ascii="Arial" w:hAnsi="Arial" w:cs="Arial"/>
          <w:sz w:val="24"/>
          <w:szCs w:val="24"/>
        </w:rPr>
        <w:t xml:space="preserve">n a procurement activity. Murrumbidgee Council’s </w:t>
      </w:r>
      <w:r w:rsidRPr="003A4D70">
        <w:rPr>
          <w:rFonts w:ascii="Arial" w:hAnsi="Arial" w:cs="Arial"/>
          <w:sz w:val="24"/>
          <w:szCs w:val="24"/>
        </w:rPr>
        <w:t>Procurement Policy and Procedure therefore apply</w:t>
      </w:r>
      <w:r w:rsidR="0018080A">
        <w:rPr>
          <w:rFonts w:ascii="Arial" w:hAnsi="Arial" w:cs="Arial"/>
          <w:sz w:val="24"/>
          <w:szCs w:val="24"/>
        </w:rPr>
        <w:t xml:space="preserve">, </w:t>
      </w:r>
      <w:r w:rsidRPr="003A4D70">
        <w:rPr>
          <w:rFonts w:ascii="Arial" w:hAnsi="Arial" w:cs="Arial"/>
          <w:sz w:val="24"/>
          <w:szCs w:val="24"/>
        </w:rPr>
        <w:t xml:space="preserve">and all </w:t>
      </w:r>
      <w:r w:rsidR="0018080A" w:rsidRPr="003A4D70">
        <w:rPr>
          <w:rFonts w:ascii="Arial" w:hAnsi="Arial" w:cs="Arial"/>
          <w:sz w:val="24"/>
          <w:szCs w:val="24"/>
        </w:rPr>
        <w:t>c</w:t>
      </w:r>
      <w:r w:rsidR="0018080A">
        <w:rPr>
          <w:rFonts w:ascii="Arial" w:hAnsi="Arial" w:cs="Arial"/>
          <w:sz w:val="24"/>
          <w:szCs w:val="24"/>
        </w:rPr>
        <w:t xml:space="preserve">ard holders </w:t>
      </w:r>
      <w:r w:rsidR="00161896">
        <w:rPr>
          <w:rFonts w:ascii="Arial" w:hAnsi="Arial" w:cs="Arial"/>
          <w:sz w:val="24"/>
          <w:szCs w:val="24"/>
        </w:rPr>
        <w:t>and Finance Manager</w:t>
      </w:r>
      <w:r w:rsidRPr="003A4D70">
        <w:rPr>
          <w:rFonts w:ascii="Arial" w:hAnsi="Arial" w:cs="Arial"/>
          <w:sz w:val="24"/>
          <w:szCs w:val="24"/>
        </w:rPr>
        <w:t xml:space="preserve"> must be aware of the Procurement Policy. T</w:t>
      </w:r>
      <w:r>
        <w:rPr>
          <w:rFonts w:ascii="Arial" w:hAnsi="Arial" w:cs="Arial"/>
          <w:sz w:val="24"/>
          <w:szCs w:val="24"/>
        </w:rPr>
        <w:t xml:space="preserve">his policy also assists the Murrumbidgee Council </w:t>
      </w:r>
      <w:r w:rsidR="0018080A">
        <w:rPr>
          <w:rFonts w:ascii="Arial" w:hAnsi="Arial" w:cs="Arial"/>
          <w:sz w:val="24"/>
          <w:szCs w:val="24"/>
        </w:rPr>
        <w:t xml:space="preserve">credit card </w:t>
      </w:r>
      <w:r w:rsidR="007967E4">
        <w:rPr>
          <w:rFonts w:ascii="Arial" w:hAnsi="Arial" w:cs="Arial"/>
          <w:sz w:val="24"/>
          <w:szCs w:val="24"/>
        </w:rPr>
        <w:t>h</w:t>
      </w:r>
      <w:r w:rsidRPr="003A4D70">
        <w:rPr>
          <w:rFonts w:ascii="Arial" w:hAnsi="Arial" w:cs="Arial"/>
          <w:sz w:val="24"/>
          <w:szCs w:val="24"/>
        </w:rPr>
        <w:t>olders in remaini</w:t>
      </w:r>
      <w:r>
        <w:rPr>
          <w:rFonts w:ascii="Arial" w:hAnsi="Arial" w:cs="Arial"/>
          <w:sz w:val="24"/>
          <w:szCs w:val="24"/>
        </w:rPr>
        <w:t>ng within the bounds of the Murrumbidgee Council</w:t>
      </w:r>
      <w:r w:rsidRPr="003A4D70">
        <w:rPr>
          <w:rFonts w:ascii="Arial" w:hAnsi="Arial" w:cs="Arial"/>
          <w:sz w:val="24"/>
          <w:szCs w:val="24"/>
        </w:rPr>
        <w:t xml:space="preserve"> Code of Conduct, specifically t</w:t>
      </w:r>
      <w:r>
        <w:rPr>
          <w:rFonts w:ascii="Arial" w:hAnsi="Arial" w:cs="Arial"/>
          <w:sz w:val="24"/>
          <w:szCs w:val="24"/>
        </w:rPr>
        <w:t>he “</w:t>
      </w:r>
      <w:r w:rsidR="0018080A">
        <w:rPr>
          <w:rFonts w:ascii="Arial" w:hAnsi="Arial" w:cs="Arial"/>
          <w:sz w:val="24"/>
          <w:szCs w:val="24"/>
        </w:rPr>
        <w:t>using C</w:t>
      </w:r>
      <w:r w:rsidR="007967E4" w:rsidRPr="007967E4">
        <w:rPr>
          <w:rFonts w:ascii="Arial" w:hAnsi="Arial" w:cs="Arial"/>
          <w:sz w:val="24"/>
          <w:szCs w:val="24"/>
        </w:rPr>
        <w:t>ouncil resources ethically, effectively, efficiently and carefully in the course of official duties</w:t>
      </w:r>
      <w:r w:rsidRPr="007967E4">
        <w:rPr>
          <w:rFonts w:ascii="Arial" w:hAnsi="Arial" w:cs="Arial"/>
          <w:sz w:val="24"/>
          <w:szCs w:val="24"/>
        </w:rPr>
        <w:t>”.</w:t>
      </w:r>
    </w:p>
    <w:p w:rsidR="0018080A" w:rsidRPr="003A4D70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4D70" w:rsidRPr="003A4D70" w:rsidRDefault="00161896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</w:t>
      </w:r>
      <w:r w:rsidR="003A4D70">
        <w:rPr>
          <w:rFonts w:ascii="Arial" w:hAnsi="Arial" w:cs="Arial"/>
          <w:sz w:val="24"/>
          <w:szCs w:val="24"/>
        </w:rPr>
        <w:t xml:space="preserve"> to whom Murrumbidgee Council issues a corporate card are </w:t>
      </w:r>
      <w:r w:rsidR="003A4D70" w:rsidRPr="003A4D70">
        <w:rPr>
          <w:rFonts w:ascii="Arial" w:hAnsi="Arial" w:cs="Arial"/>
          <w:sz w:val="24"/>
          <w:szCs w:val="24"/>
        </w:rPr>
        <w:t>placed in a position of t</w:t>
      </w:r>
      <w:r w:rsidR="003A4D70">
        <w:rPr>
          <w:rFonts w:ascii="Arial" w:hAnsi="Arial" w:cs="Arial"/>
          <w:sz w:val="24"/>
          <w:szCs w:val="24"/>
        </w:rPr>
        <w:t xml:space="preserve">rust. Intentional misuse of Murrumbidgee Council </w:t>
      </w:r>
      <w:r w:rsidR="0018080A">
        <w:rPr>
          <w:rFonts w:ascii="Arial" w:hAnsi="Arial" w:cs="Arial"/>
          <w:sz w:val="24"/>
          <w:szCs w:val="24"/>
        </w:rPr>
        <w:t>credit c</w:t>
      </w:r>
      <w:r w:rsidR="0018080A" w:rsidRPr="003A4D70">
        <w:rPr>
          <w:rFonts w:ascii="Arial" w:hAnsi="Arial" w:cs="Arial"/>
          <w:sz w:val="24"/>
          <w:szCs w:val="24"/>
        </w:rPr>
        <w:t xml:space="preserve">ards </w:t>
      </w:r>
      <w:r w:rsidR="003A4D70" w:rsidRPr="003A4D70">
        <w:rPr>
          <w:rFonts w:ascii="Arial" w:hAnsi="Arial" w:cs="Arial"/>
          <w:sz w:val="24"/>
          <w:szCs w:val="24"/>
        </w:rPr>
        <w:t xml:space="preserve">represents a breach of trust, and any misuse, whether intentional or otherwise, may expose the </w:t>
      </w:r>
      <w:r>
        <w:rPr>
          <w:rFonts w:ascii="Arial" w:hAnsi="Arial" w:cs="Arial"/>
          <w:sz w:val="24"/>
          <w:szCs w:val="24"/>
        </w:rPr>
        <w:t>Council</w:t>
      </w:r>
      <w:r w:rsidR="003A4D70" w:rsidRPr="003A4D70">
        <w:rPr>
          <w:rFonts w:ascii="Arial" w:hAnsi="Arial" w:cs="Arial"/>
          <w:sz w:val="24"/>
          <w:szCs w:val="24"/>
        </w:rPr>
        <w:t xml:space="preserve"> to significant risk, including the risk of regulatory investigation and damage to reputation. Intentional misuse may also lead to disciplinary action.</w:t>
      </w:r>
    </w:p>
    <w:p w:rsidR="004E5F92" w:rsidRDefault="00131E2F" w:rsidP="0018080A">
      <w:pPr>
        <w:pStyle w:val="ListParagraph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b/>
          <w:sz w:val="24"/>
        </w:rPr>
      </w:pPr>
      <w:r w:rsidRPr="0018080A">
        <w:rPr>
          <w:rFonts w:ascii="Arial" w:hAnsi="Arial" w:cs="Arial"/>
          <w:b/>
          <w:sz w:val="24"/>
        </w:rPr>
        <w:t>Issuance</w:t>
      </w:r>
    </w:p>
    <w:p w:rsidR="00131E2F" w:rsidRDefault="00131E2F" w:rsidP="0018080A">
      <w:pPr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 xml:space="preserve">Murrumbidgee Council may issue a Murrumbidgee </w:t>
      </w:r>
      <w:r w:rsidR="0018080A" w:rsidRPr="0018080A">
        <w:rPr>
          <w:rFonts w:ascii="Arial" w:hAnsi="Arial" w:cs="Arial"/>
          <w:sz w:val="24"/>
          <w:szCs w:val="24"/>
        </w:rPr>
        <w:t xml:space="preserve">credit card </w:t>
      </w:r>
      <w:r w:rsidRPr="0018080A">
        <w:rPr>
          <w:rFonts w:ascii="Arial" w:hAnsi="Arial" w:cs="Arial"/>
          <w:sz w:val="24"/>
          <w:szCs w:val="24"/>
        </w:rPr>
        <w:t>to individuals who:</w:t>
      </w:r>
    </w:p>
    <w:p w:rsidR="0018080A" w:rsidRPr="0018080A" w:rsidRDefault="0018080A" w:rsidP="0018080A">
      <w:pPr>
        <w:spacing w:before="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1E2F" w:rsidRDefault="00131E2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 a position that involves a regular and demonstrated need to purchase in-scope specific goods or services, and/or has regular travel on Murrumbidgee Council business.</w:t>
      </w:r>
    </w:p>
    <w:p w:rsidR="00131E2F" w:rsidRDefault="00131E2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willing to accept the terms, conditions and processing obligations of Murrumbidgee </w:t>
      </w:r>
      <w:r w:rsidR="0018080A">
        <w:rPr>
          <w:rFonts w:ascii="Arial" w:hAnsi="Arial" w:cs="Arial"/>
          <w:sz w:val="24"/>
        </w:rPr>
        <w:t xml:space="preserve">credit card </w:t>
      </w:r>
      <w:r>
        <w:rPr>
          <w:rFonts w:ascii="Arial" w:hAnsi="Arial" w:cs="Arial"/>
          <w:sz w:val="24"/>
        </w:rPr>
        <w:t xml:space="preserve">usage; and </w:t>
      </w:r>
    </w:p>
    <w:p w:rsidR="00131E2F" w:rsidRDefault="00131E2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an approved financial delegation.</w:t>
      </w:r>
    </w:p>
    <w:p w:rsidR="0018080A" w:rsidRDefault="0018080A" w:rsidP="0018080A">
      <w:pPr>
        <w:pStyle w:val="ListParagraph"/>
        <w:spacing w:before="0"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131E2F" w:rsidRPr="00131E2F" w:rsidRDefault="00131E2F" w:rsidP="0018080A">
      <w:pPr>
        <w:spacing w:before="0"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Credit limits will be set to minimise risk to the Council without constraining employees in effectively undertaking their roles.</w:t>
      </w:r>
    </w:p>
    <w:p w:rsidR="004E5F92" w:rsidRPr="0018080A" w:rsidRDefault="00CF1C1F" w:rsidP="0018080A">
      <w:pPr>
        <w:pStyle w:val="ListParagraph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b/>
          <w:sz w:val="24"/>
        </w:rPr>
      </w:pPr>
      <w:bookmarkStart w:id="2" w:name="_Toc303676472"/>
      <w:r w:rsidRPr="0018080A">
        <w:rPr>
          <w:rFonts w:ascii="Arial" w:hAnsi="Arial" w:cs="Arial"/>
          <w:b/>
          <w:sz w:val="24"/>
        </w:rPr>
        <w:t>Cardholder Responsibilities</w:t>
      </w:r>
    </w:p>
    <w:p w:rsidR="00CF1C1F" w:rsidRPr="00CF1C1F" w:rsidRDefault="00161896" w:rsidP="00CF1C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="00CF1C1F" w:rsidRPr="00CF1C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individuals</w:t>
      </w:r>
      <w:r w:rsidR="00CF1C1F" w:rsidRPr="00CF1C1F">
        <w:rPr>
          <w:rFonts w:ascii="Arial" w:hAnsi="Arial" w:cs="Arial"/>
          <w:sz w:val="24"/>
        </w:rPr>
        <w:t xml:space="preserve"> issued with a </w:t>
      </w:r>
      <w:r>
        <w:rPr>
          <w:rFonts w:ascii="Arial" w:hAnsi="Arial" w:cs="Arial"/>
          <w:sz w:val="24"/>
        </w:rPr>
        <w:t xml:space="preserve">Murrumbidgee Council </w:t>
      </w:r>
      <w:r w:rsidR="00CF1C1F" w:rsidRPr="00CF1C1F">
        <w:rPr>
          <w:rFonts w:ascii="Arial" w:hAnsi="Arial" w:cs="Arial"/>
          <w:sz w:val="24"/>
        </w:rPr>
        <w:t>credit card must comply with the following:</w:t>
      </w:r>
    </w:p>
    <w:p w:rsid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 xml:space="preserve">All expenses must be for a legitimate </w:t>
      </w:r>
      <w:r w:rsidR="00161896">
        <w:rPr>
          <w:rFonts w:ascii="Arial" w:hAnsi="Arial" w:cs="Arial"/>
          <w:sz w:val="24"/>
        </w:rPr>
        <w:t>Council</w:t>
      </w:r>
      <w:r w:rsidRPr="00CF1C1F">
        <w:rPr>
          <w:rFonts w:ascii="Arial" w:hAnsi="Arial" w:cs="Arial"/>
          <w:sz w:val="24"/>
        </w:rPr>
        <w:t xml:space="preserve"> purpose, meaning they are reasonable and appropriate in the circumstances, and publicly defensible. </w:t>
      </w:r>
      <w:r w:rsidRPr="00CF1C1F">
        <w:rPr>
          <w:rFonts w:ascii="Arial" w:hAnsi="Arial" w:cs="Arial"/>
          <w:sz w:val="24"/>
        </w:rPr>
        <w:lastRenderedPageBreak/>
        <w:t>The expenditure must not be or perceived to be excessive and must meet the following characteristics:</w:t>
      </w:r>
    </w:p>
    <w:p w:rsidR="0018080A" w:rsidRPr="00CF1C1F" w:rsidRDefault="0018080A" w:rsidP="0018080A">
      <w:pPr>
        <w:pStyle w:val="ListParagraph"/>
        <w:spacing w:before="0"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CF1C1F" w:rsidRPr="0018080A" w:rsidRDefault="00CF1C1F" w:rsidP="0018080A">
      <w:pPr>
        <w:pStyle w:val="ListParagraph"/>
        <w:numPr>
          <w:ilvl w:val="1"/>
          <w:numId w:val="46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18080A">
        <w:rPr>
          <w:rFonts w:ascii="Arial" w:hAnsi="Arial" w:cs="Arial"/>
          <w:sz w:val="24"/>
        </w:rPr>
        <w:t xml:space="preserve">Necessary to perform a valid business purpose fulfilling the mission of the </w:t>
      </w:r>
      <w:r w:rsidR="00161896" w:rsidRPr="0018080A">
        <w:rPr>
          <w:rFonts w:ascii="Arial" w:hAnsi="Arial" w:cs="Arial"/>
          <w:sz w:val="24"/>
        </w:rPr>
        <w:t>Council</w:t>
      </w:r>
      <w:r w:rsidRPr="0018080A">
        <w:rPr>
          <w:rFonts w:ascii="Arial" w:hAnsi="Arial" w:cs="Arial"/>
          <w:sz w:val="24"/>
        </w:rPr>
        <w:t>;</w:t>
      </w:r>
    </w:p>
    <w:p w:rsidR="00CF1C1F" w:rsidRPr="0018080A" w:rsidRDefault="00CF1C1F" w:rsidP="0018080A">
      <w:pPr>
        <w:pStyle w:val="ListParagraph"/>
        <w:numPr>
          <w:ilvl w:val="1"/>
          <w:numId w:val="46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18080A">
        <w:rPr>
          <w:rFonts w:ascii="Arial" w:hAnsi="Arial" w:cs="Arial"/>
          <w:sz w:val="24"/>
        </w:rPr>
        <w:t>Reasonable in that the expense is not extreme or excessive, and reflects a prudent decision to incur the expense;</w:t>
      </w:r>
    </w:p>
    <w:p w:rsidR="00CF1C1F" w:rsidRPr="0018080A" w:rsidRDefault="00CF1C1F" w:rsidP="0018080A">
      <w:pPr>
        <w:pStyle w:val="ListParagraph"/>
        <w:numPr>
          <w:ilvl w:val="1"/>
          <w:numId w:val="46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18080A">
        <w:rPr>
          <w:rFonts w:ascii="Arial" w:hAnsi="Arial" w:cs="Arial"/>
          <w:sz w:val="24"/>
        </w:rPr>
        <w:t>Appropriate in that the expense is suitable and fitting in the context of the valid business purpose; and</w:t>
      </w:r>
    </w:p>
    <w:p w:rsidR="0018080A" w:rsidRDefault="00CF1C1F" w:rsidP="0018080A">
      <w:pPr>
        <w:pStyle w:val="ListParagraph"/>
        <w:numPr>
          <w:ilvl w:val="1"/>
          <w:numId w:val="46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18080A">
        <w:rPr>
          <w:rFonts w:ascii="Arial" w:hAnsi="Arial" w:cs="Arial"/>
          <w:sz w:val="24"/>
        </w:rPr>
        <w:t>Allowable</w:t>
      </w:r>
      <w:r w:rsidR="0018080A">
        <w:rPr>
          <w:rFonts w:ascii="Arial" w:hAnsi="Arial" w:cs="Arial"/>
          <w:sz w:val="24"/>
        </w:rPr>
        <w:t xml:space="preserve"> according to the terms of any F</w:t>
      </w:r>
      <w:r w:rsidRPr="0018080A">
        <w:rPr>
          <w:rFonts w:ascii="Arial" w:hAnsi="Arial" w:cs="Arial"/>
          <w:sz w:val="24"/>
        </w:rPr>
        <w:t xml:space="preserve">ederal regulation, sponsored contract, or </w:t>
      </w:r>
      <w:r w:rsidR="00161896" w:rsidRPr="0018080A">
        <w:rPr>
          <w:rFonts w:ascii="Arial" w:hAnsi="Arial" w:cs="Arial"/>
          <w:sz w:val="24"/>
        </w:rPr>
        <w:t>Council</w:t>
      </w:r>
      <w:r w:rsidRPr="0018080A">
        <w:rPr>
          <w:rFonts w:ascii="Arial" w:hAnsi="Arial" w:cs="Arial"/>
          <w:sz w:val="24"/>
        </w:rPr>
        <w:t xml:space="preserve"> policy.</w:t>
      </w:r>
    </w:p>
    <w:p w:rsidR="0018080A" w:rsidRPr="0018080A" w:rsidRDefault="0018080A" w:rsidP="0018080A">
      <w:pPr>
        <w:pStyle w:val="ListParagraph"/>
        <w:ind w:left="1800"/>
        <w:jc w:val="both"/>
        <w:rPr>
          <w:rFonts w:ascii="Arial" w:hAnsi="Arial" w:cs="Arial"/>
          <w:sz w:val="24"/>
        </w:rPr>
      </w:pPr>
    </w:p>
    <w:p w:rsidR="00CF1C1F" w:rsidRP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>For all transactions, original receipts or tax invoices must be obtained at the time of the transaction (including for contactless transactions</w:t>
      </w:r>
      <w:r w:rsidR="0018080A">
        <w:rPr>
          <w:rFonts w:ascii="Arial" w:hAnsi="Arial" w:cs="Arial"/>
          <w:sz w:val="24"/>
        </w:rPr>
        <w:t>);</w:t>
      </w:r>
    </w:p>
    <w:p w:rsidR="00CF1C1F" w:rsidRP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>Personal expen</w:t>
      </w:r>
      <w:r w:rsidR="00140353">
        <w:rPr>
          <w:rFonts w:ascii="Arial" w:hAnsi="Arial" w:cs="Arial"/>
          <w:sz w:val="24"/>
        </w:rPr>
        <w:t>diture must not be</w:t>
      </w:r>
      <w:r w:rsidRPr="00CF1C1F">
        <w:rPr>
          <w:rFonts w:ascii="Arial" w:hAnsi="Arial" w:cs="Arial"/>
          <w:sz w:val="24"/>
        </w:rPr>
        <w:t xml:space="preserve"> charged to the credit card, even if it is intended to subsequently repay the expenditure, except in extreme and defensible circumstances, in which case repayment must be mad</w:t>
      </w:r>
      <w:r w:rsidR="00161896">
        <w:rPr>
          <w:rFonts w:ascii="Arial" w:hAnsi="Arial" w:cs="Arial"/>
          <w:sz w:val="24"/>
        </w:rPr>
        <w:t>e</w:t>
      </w:r>
      <w:r w:rsidR="0018080A">
        <w:rPr>
          <w:rFonts w:ascii="Arial" w:hAnsi="Arial" w:cs="Arial"/>
          <w:sz w:val="24"/>
        </w:rPr>
        <w:t>;</w:t>
      </w:r>
    </w:p>
    <w:p w:rsidR="00CF1C1F" w:rsidRP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>Credit cards must be kept secure and under no circumstances should PINs (Personal Identity Number</w:t>
      </w:r>
      <w:r w:rsidR="0018080A">
        <w:rPr>
          <w:rFonts w:ascii="Arial" w:hAnsi="Arial" w:cs="Arial"/>
          <w:sz w:val="24"/>
        </w:rPr>
        <w:t>s) be shared with third parties;</w:t>
      </w:r>
    </w:p>
    <w:p w:rsidR="00CF1C1F" w:rsidRP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>Purchases must not be split into smaller transactions (or over multiple credit cards) to circumvent ex</w:t>
      </w:r>
      <w:r w:rsidR="00F2585A">
        <w:rPr>
          <w:rFonts w:ascii="Arial" w:hAnsi="Arial" w:cs="Arial"/>
          <w:sz w:val="24"/>
        </w:rPr>
        <w:t>penditure or transaction limits;</w:t>
      </w:r>
    </w:p>
    <w:p w:rsidR="00CF1C1F" w:rsidRDefault="00CF1C1F" w:rsidP="0018080A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Arial" w:hAnsi="Arial" w:cs="Arial"/>
          <w:sz w:val="24"/>
        </w:rPr>
      </w:pPr>
      <w:r w:rsidRPr="00CF1C1F">
        <w:rPr>
          <w:rFonts w:ascii="Arial" w:hAnsi="Arial" w:cs="Arial"/>
          <w:sz w:val="24"/>
        </w:rPr>
        <w:t>All credit card statements must be reconciled and approved within one month after statement date.</w:t>
      </w:r>
    </w:p>
    <w:p w:rsidR="0018080A" w:rsidRPr="00CF1C1F" w:rsidRDefault="0018080A" w:rsidP="0018080A">
      <w:pPr>
        <w:pStyle w:val="ListParagraph"/>
        <w:spacing w:before="0"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CF1C1F" w:rsidRDefault="00CF1C1F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>Failure to use the credit card in accordan</w:t>
      </w:r>
      <w:r w:rsidR="00140353" w:rsidRPr="0018080A">
        <w:rPr>
          <w:rFonts w:ascii="Arial" w:hAnsi="Arial" w:cs="Arial"/>
          <w:sz w:val="24"/>
          <w:szCs w:val="24"/>
        </w:rPr>
        <w:t>ce with this Policy and the Murrumbidgee Council</w:t>
      </w:r>
      <w:r w:rsidRPr="0018080A">
        <w:rPr>
          <w:rFonts w:ascii="Arial" w:hAnsi="Arial" w:cs="Arial"/>
          <w:sz w:val="24"/>
          <w:szCs w:val="24"/>
        </w:rPr>
        <w:t xml:space="preserve"> Credit Card Procedure will result in revocation, possible disciplinary action and a possible requirement for repayment by the employee. In circumstances of intentional non-compliance, both H</w:t>
      </w:r>
      <w:r w:rsidR="0018080A">
        <w:rPr>
          <w:rFonts w:ascii="Arial" w:hAnsi="Arial" w:cs="Arial"/>
          <w:sz w:val="24"/>
          <w:szCs w:val="24"/>
        </w:rPr>
        <w:t>uman Resources</w:t>
      </w:r>
      <w:r w:rsidRPr="0018080A">
        <w:rPr>
          <w:rFonts w:ascii="Arial" w:hAnsi="Arial" w:cs="Arial"/>
          <w:sz w:val="24"/>
          <w:szCs w:val="24"/>
        </w:rPr>
        <w:t xml:space="preserve"> and Internal Audit will be informed.</w:t>
      </w:r>
    </w:p>
    <w:p w:rsidR="0018080A" w:rsidRPr="0018080A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CF1C1F" w:rsidRPr="0018080A" w:rsidRDefault="00CF1C1F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>Fraudulent or other intentional misuse of the cred</w:t>
      </w:r>
      <w:r w:rsidR="00140353" w:rsidRPr="0018080A">
        <w:rPr>
          <w:rFonts w:ascii="Arial" w:hAnsi="Arial" w:cs="Arial"/>
          <w:sz w:val="24"/>
          <w:szCs w:val="24"/>
        </w:rPr>
        <w:t>it card will be reported by Murrumbidgee Council</w:t>
      </w:r>
      <w:r w:rsidRPr="0018080A">
        <w:rPr>
          <w:rFonts w:ascii="Arial" w:hAnsi="Arial" w:cs="Arial"/>
          <w:sz w:val="24"/>
          <w:szCs w:val="24"/>
        </w:rPr>
        <w:t xml:space="preserve"> to the police and may also be reported to the Independent Commission Against Corruption.</w:t>
      </w:r>
    </w:p>
    <w:p w:rsidR="004E5F92" w:rsidRPr="0018080A" w:rsidRDefault="004E5F92" w:rsidP="0018080A">
      <w:pPr>
        <w:pStyle w:val="ListParagraph"/>
        <w:numPr>
          <w:ilvl w:val="0"/>
          <w:numId w:val="2"/>
        </w:numPr>
        <w:spacing w:before="240"/>
        <w:ind w:left="357" w:hanging="357"/>
        <w:rPr>
          <w:rFonts w:ascii="Arial" w:hAnsi="Arial" w:cs="Arial"/>
          <w:b/>
          <w:sz w:val="24"/>
        </w:rPr>
      </w:pPr>
      <w:bookmarkStart w:id="3" w:name="_Toc482614248"/>
      <w:r w:rsidRPr="0018080A">
        <w:rPr>
          <w:rFonts w:ascii="Arial" w:hAnsi="Arial" w:cs="Arial"/>
          <w:b/>
          <w:sz w:val="24"/>
        </w:rPr>
        <w:t>Roles and responsibilities</w:t>
      </w:r>
      <w:bookmarkEnd w:id="3"/>
      <w:r w:rsidRPr="0018080A">
        <w:rPr>
          <w:rFonts w:ascii="Arial" w:hAnsi="Arial" w:cs="Arial"/>
          <w:b/>
          <w:sz w:val="24"/>
        </w:rPr>
        <w:t xml:space="preserve"> </w:t>
      </w:r>
      <w:bookmarkEnd w:id="2"/>
    </w:p>
    <w:p w:rsidR="006A6376" w:rsidRDefault="002B7BE9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>The General Manager</w:t>
      </w:r>
      <w:r w:rsidR="006A6376" w:rsidRPr="0018080A">
        <w:rPr>
          <w:rFonts w:ascii="Arial" w:hAnsi="Arial" w:cs="Arial"/>
          <w:sz w:val="24"/>
          <w:szCs w:val="24"/>
        </w:rPr>
        <w:t xml:space="preserve"> has overall responsibility for the implementation and review of the Credit Card Policy and Procedure and communication of the Policy and Procedure to </w:t>
      </w:r>
      <w:r w:rsidR="00F2585A" w:rsidRPr="0018080A">
        <w:rPr>
          <w:rFonts w:ascii="Arial" w:hAnsi="Arial" w:cs="Arial"/>
          <w:sz w:val="24"/>
          <w:szCs w:val="24"/>
        </w:rPr>
        <w:t>credit card holders and supervisors.</w:t>
      </w:r>
    </w:p>
    <w:p w:rsidR="0018080A" w:rsidRPr="0018080A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A6376" w:rsidRDefault="002B7BE9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>The Finance Manager</w:t>
      </w:r>
      <w:r w:rsidR="006A6376" w:rsidRPr="0018080A">
        <w:rPr>
          <w:rFonts w:ascii="Arial" w:hAnsi="Arial" w:cs="Arial"/>
          <w:sz w:val="24"/>
          <w:szCs w:val="24"/>
        </w:rPr>
        <w:t xml:space="preserve"> will ensure that appropriate procedures </w:t>
      </w:r>
      <w:r w:rsidRPr="0018080A">
        <w:rPr>
          <w:rFonts w:ascii="Arial" w:hAnsi="Arial" w:cs="Arial"/>
          <w:sz w:val="24"/>
          <w:szCs w:val="24"/>
        </w:rPr>
        <w:t>are in place to support the Murrumbidgee Council</w:t>
      </w:r>
      <w:r w:rsidR="006A6376" w:rsidRPr="0018080A">
        <w:rPr>
          <w:rFonts w:ascii="Arial" w:hAnsi="Arial" w:cs="Arial"/>
          <w:sz w:val="24"/>
          <w:szCs w:val="24"/>
        </w:rPr>
        <w:t xml:space="preserve"> Credit Card Policy and Procedure, and are communicated to </w:t>
      </w:r>
      <w:r w:rsidR="00170DA4" w:rsidRPr="0018080A">
        <w:rPr>
          <w:rFonts w:ascii="Arial" w:hAnsi="Arial" w:cs="Arial"/>
          <w:sz w:val="24"/>
          <w:szCs w:val="24"/>
        </w:rPr>
        <w:t>Council</w:t>
      </w:r>
      <w:r w:rsidR="006A6376" w:rsidRPr="0018080A">
        <w:rPr>
          <w:rFonts w:ascii="Arial" w:hAnsi="Arial" w:cs="Arial"/>
          <w:sz w:val="24"/>
          <w:szCs w:val="24"/>
        </w:rPr>
        <w:t xml:space="preserve"> </w:t>
      </w:r>
      <w:r w:rsidR="00F2585A" w:rsidRPr="0018080A">
        <w:rPr>
          <w:rFonts w:ascii="Arial" w:hAnsi="Arial" w:cs="Arial"/>
          <w:sz w:val="24"/>
          <w:szCs w:val="24"/>
        </w:rPr>
        <w:t xml:space="preserve">credit card holders. </w:t>
      </w:r>
      <w:r w:rsidR="006A6376" w:rsidRPr="0018080A">
        <w:rPr>
          <w:rFonts w:ascii="Arial" w:hAnsi="Arial" w:cs="Arial"/>
          <w:sz w:val="24"/>
          <w:szCs w:val="24"/>
        </w:rPr>
        <w:t>Finance</w:t>
      </w:r>
      <w:r w:rsidR="00170DA4" w:rsidRPr="0018080A">
        <w:rPr>
          <w:rFonts w:ascii="Arial" w:hAnsi="Arial" w:cs="Arial"/>
          <w:sz w:val="24"/>
          <w:szCs w:val="24"/>
        </w:rPr>
        <w:t xml:space="preserve"> Manager</w:t>
      </w:r>
      <w:r w:rsidR="006A6376" w:rsidRPr="0018080A">
        <w:rPr>
          <w:rFonts w:ascii="Arial" w:hAnsi="Arial" w:cs="Arial"/>
          <w:sz w:val="24"/>
          <w:szCs w:val="24"/>
        </w:rPr>
        <w:t xml:space="preserve"> will ensure there are appropriate administrative procedures in place to support the </w:t>
      </w:r>
      <w:r w:rsidR="00F2585A" w:rsidRPr="0018080A">
        <w:rPr>
          <w:rFonts w:ascii="Arial" w:hAnsi="Arial" w:cs="Arial"/>
          <w:sz w:val="24"/>
          <w:szCs w:val="24"/>
        </w:rPr>
        <w:t>credit card holders.</w:t>
      </w:r>
    </w:p>
    <w:p w:rsidR="0018080A" w:rsidRPr="0018080A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A6376" w:rsidRDefault="00170DA4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>The Finance Manager is</w:t>
      </w:r>
      <w:r w:rsidR="006A6376" w:rsidRPr="0018080A">
        <w:rPr>
          <w:rFonts w:ascii="Arial" w:hAnsi="Arial" w:cs="Arial"/>
          <w:sz w:val="24"/>
          <w:szCs w:val="24"/>
        </w:rPr>
        <w:t xml:space="preserve"> responsible to ensure the </w:t>
      </w:r>
      <w:r w:rsidR="00F2585A" w:rsidRPr="0018080A">
        <w:rPr>
          <w:rFonts w:ascii="Arial" w:hAnsi="Arial" w:cs="Arial"/>
          <w:sz w:val="24"/>
          <w:szCs w:val="24"/>
        </w:rPr>
        <w:t xml:space="preserve">credit card holders </w:t>
      </w:r>
      <w:r w:rsidR="006A6376" w:rsidRPr="0018080A">
        <w:rPr>
          <w:rFonts w:ascii="Arial" w:hAnsi="Arial" w:cs="Arial"/>
          <w:sz w:val="24"/>
          <w:szCs w:val="24"/>
        </w:rPr>
        <w:t xml:space="preserve">comply with the Policy and Procedure through review and approval of the </w:t>
      </w:r>
      <w:r w:rsidR="00F2585A" w:rsidRPr="0018080A">
        <w:rPr>
          <w:rFonts w:ascii="Arial" w:hAnsi="Arial" w:cs="Arial"/>
          <w:sz w:val="24"/>
          <w:szCs w:val="24"/>
        </w:rPr>
        <w:t xml:space="preserve">credit card holder’s </w:t>
      </w:r>
      <w:r w:rsidR="006A6376" w:rsidRPr="0018080A">
        <w:rPr>
          <w:rFonts w:ascii="Arial" w:hAnsi="Arial" w:cs="Arial"/>
          <w:sz w:val="24"/>
          <w:szCs w:val="24"/>
        </w:rPr>
        <w:t>transactions.</w:t>
      </w:r>
    </w:p>
    <w:p w:rsidR="0018080A" w:rsidRPr="0018080A" w:rsidRDefault="0018080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A6376" w:rsidRDefault="00170DA4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lastRenderedPageBreak/>
        <w:t xml:space="preserve">The </w:t>
      </w:r>
      <w:r w:rsidR="006A6376" w:rsidRPr="0018080A">
        <w:rPr>
          <w:rFonts w:ascii="Arial" w:hAnsi="Arial" w:cs="Arial"/>
          <w:sz w:val="24"/>
          <w:szCs w:val="24"/>
        </w:rPr>
        <w:t xml:space="preserve">Finance </w:t>
      </w:r>
      <w:r w:rsidRPr="0018080A">
        <w:rPr>
          <w:rFonts w:ascii="Arial" w:hAnsi="Arial" w:cs="Arial"/>
          <w:sz w:val="24"/>
          <w:szCs w:val="24"/>
        </w:rPr>
        <w:t xml:space="preserve">Manager </w:t>
      </w:r>
      <w:r w:rsidR="006A6376" w:rsidRPr="0018080A">
        <w:rPr>
          <w:rFonts w:ascii="Arial" w:hAnsi="Arial" w:cs="Arial"/>
          <w:sz w:val="24"/>
          <w:szCs w:val="24"/>
        </w:rPr>
        <w:t xml:space="preserve">will monitor the unreconciled and unapproved credit card expenditure. </w:t>
      </w:r>
      <w:r w:rsidRPr="0018080A">
        <w:rPr>
          <w:rFonts w:ascii="Arial" w:hAnsi="Arial" w:cs="Arial"/>
          <w:sz w:val="24"/>
          <w:szCs w:val="24"/>
        </w:rPr>
        <w:t xml:space="preserve">The </w:t>
      </w:r>
      <w:r w:rsidR="006A6376" w:rsidRPr="0018080A">
        <w:rPr>
          <w:rFonts w:ascii="Arial" w:hAnsi="Arial" w:cs="Arial"/>
          <w:sz w:val="24"/>
          <w:szCs w:val="24"/>
        </w:rPr>
        <w:t>Finance</w:t>
      </w:r>
      <w:r w:rsidRPr="0018080A">
        <w:rPr>
          <w:rFonts w:ascii="Arial" w:hAnsi="Arial" w:cs="Arial"/>
          <w:sz w:val="24"/>
          <w:szCs w:val="24"/>
        </w:rPr>
        <w:t xml:space="preserve"> Manager</w:t>
      </w:r>
      <w:r w:rsidR="006A6376" w:rsidRPr="0018080A">
        <w:rPr>
          <w:rFonts w:ascii="Arial" w:hAnsi="Arial" w:cs="Arial"/>
          <w:sz w:val="24"/>
          <w:szCs w:val="24"/>
        </w:rPr>
        <w:t xml:space="preserve"> will conduct monthly review</w:t>
      </w:r>
      <w:r w:rsidRPr="0018080A">
        <w:rPr>
          <w:rFonts w:ascii="Arial" w:hAnsi="Arial" w:cs="Arial"/>
          <w:sz w:val="24"/>
          <w:szCs w:val="24"/>
        </w:rPr>
        <w:t>s</w:t>
      </w:r>
      <w:r w:rsidR="006A6376" w:rsidRPr="0018080A">
        <w:rPr>
          <w:rFonts w:ascii="Arial" w:hAnsi="Arial" w:cs="Arial"/>
          <w:sz w:val="24"/>
          <w:szCs w:val="24"/>
        </w:rPr>
        <w:t xml:space="preserve"> of the credit card use and expenditure.</w:t>
      </w:r>
    </w:p>
    <w:p w:rsidR="00F2585A" w:rsidRPr="0018080A" w:rsidRDefault="00F2585A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A6376" w:rsidRPr="0018080A" w:rsidRDefault="006A6376" w:rsidP="0018080A">
      <w:pPr>
        <w:spacing w:before="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8080A">
        <w:rPr>
          <w:rFonts w:ascii="Arial" w:hAnsi="Arial" w:cs="Arial"/>
          <w:sz w:val="24"/>
          <w:szCs w:val="24"/>
        </w:rPr>
        <w:t xml:space="preserve">Periodic audits may be conducted </w:t>
      </w:r>
      <w:r w:rsidR="00F2585A">
        <w:rPr>
          <w:rFonts w:ascii="Arial" w:hAnsi="Arial" w:cs="Arial"/>
          <w:sz w:val="24"/>
          <w:szCs w:val="24"/>
        </w:rPr>
        <w:t>into</w:t>
      </w:r>
      <w:r w:rsidRPr="0018080A">
        <w:rPr>
          <w:rFonts w:ascii="Arial" w:hAnsi="Arial" w:cs="Arial"/>
          <w:sz w:val="24"/>
          <w:szCs w:val="24"/>
        </w:rPr>
        <w:t xml:space="preserve"> compliance with the Credit Card Policy and Procedure by Internal Audit.</w:t>
      </w:r>
    </w:p>
    <w:p w:rsidR="00EA28E2" w:rsidRDefault="00EA28E2" w:rsidP="002B7BE9">
      <w:pPr>
        <w:jc w:val="both"/>
        <w:rPr>
          <w:rFonts w:ascii="Arial" w:hAnsi="Arial" w:cs="Arial"/>
          <w:sz w:val="24"/>
        </w:rPr>
      </w:pPr>
    </w:p>
    <w:p w:rsidR="00F11B60" w:rsidRPr="00F11B60" w:rsidRDefault="00F11B60" w:rsidP="00F11B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Information: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325"/>
        <w:gridCol w:w="5760"/>
      </w:tblGrid>
      <w:tr w:rsidR="00F11B60" w:rsidTr="00F11B60">
        <w:tc>
          <w:tcPr>
            <w:tcW w:w="9085" w:type="dxa"/>
            <w:gridSpan w:val="2"/>
          </w:tcPr>
          <w:p w:rsidR="00F11B60" w:rsidRPr="00F11B60" w:rsidRDefault="00F11B60" w:rsidP="00F11B6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Supporting Information</w:t>
            </w:r>
          </w:p>
        </w:tc>
      </w:tr>
      <w:tr w:rsidR="00F11B60" w:rsidTr="00F11B60">
        <w:tc>
          <w:tcPr>
            <w:tcW w:w="3325" w:type="dxa"/>
          </w:tcPr>
          <w:p w:rsidR="00F11B60" w:rsidRDefault="00F11B60" w:rsidP="00F11B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Legislative:</w:t>
            </w:r>
          </w:p>
          <w:p w:rsidR="00F11B60" w:rsidRDefault="00F11B60" w:rsidP="00F11B60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:rsidR="00F11B60" w:rsidRPr="00F11B60" w:rsidRDefault="00F11B60" w:rsidP="00F11B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Supporting Documents</w:t>
            </w:r>
          </w:p>
        </w:tc>
        <w:tc>
          <w:tcPr>
            <w:tcW w:w="5760" w:type="dxa"/>
          </w:tcPr>
          <w:p w:rsidR="00F11B60" w:rsidRDefault="00F11B60" w:rsidP="00F11B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</w:rPr>
            </w:pPr>
            <w:r w:rsidRPr="00F11B60">
              <w:rPr>
                <w:rFonts w:ascii="Arial" w:hAnsi="Arial" w:cs="Arial"/>
                <w:sz w:val="24"/>
              </w:rPr>
              <w:t>Not Applicable</w:t>
            </w:r>
          </w:p>
          <w:p w:rsidR="00F11B60" w:rsidRPr="00F11B60" w:rsidRDefault="00F11B60" w:rsidP="00F11B60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Procedure</w:t>
            </w: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Murrumbidgee Council Code of Conduct</w:t>
            </w: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Procurement Policy</w:t>
            </w: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Procurement Procedure</w:t>
            </w: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Fraud and Corruption Prevention Policy</w:t>
            </w:r>
          </w:p>
          <w:p w:rsidR="00F11B60" w:rsidRDefault="00F11B60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0A6605">
              <w:rPr>
                <w:rFonts w:ascii="Arial" w:hAnsi="Arial" w:cs="Arial"/>
                <w:sz w:val="24"/>
              </w:rPr>
              <w:t>ifts and Benefits Policy</w:t>
            </w:r>
          </w:p>
          <w:p w:rsidR="00170DA4" w:rsidRPr="00F11B60" w:rsidRDefault="001C1DB5" w:rsidP="00F11B6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Payment of Expenses &amp; Provision of Facilities Policy</w:t>
            </w:r>
          </w:p>
        </w:tc>
      </w:tr>
      <w:tr w:rsidR="00F11B60" w:rsidTr="00F11B60">
        <w:tc>
          <w:tcPr>
            <w:tcW w:w="9085" w:type="dxa"/>
            <w:gridSpan w:val="2"/>
          </w:tcPr>
          <w:p w:rsidR="00F11B60" w:rsidRPr="00F11B60" w:rsidRDefault="00F11B60" w:rsidP="00F11B60">
            <w:pPr>
              <w:jc w:val="center"/>
              <w:rPr>
                <w:rFonts w:ascii="Arial" w:hAnsi="Arial" w:cs="Arial"/>
                <w:sz w:val="24"/>
              </w:rPr>
            </w:pPr>
            <w:r w:rsidRPr="00F11B60">
              <w:rPr>
                <w:rFonts w:ascii="Arial" w:hAnsi="Arial" w:cs="Arial"/>
                <w:b/>
                <w:sz w:val="24"/>
              </w:rPr>
              <w:t>Definitions:</w:t>
            </w:r>
          </w:p>
        </w:tc>
      </w:tr>
      <w:tr w:rsidR="00F11B60" w:rsidTr="00F11B60">
        <w:tc>
          <w:tcPr>
            <w:tcW w:w="3325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Cardholder</w:t>
            </w:r>
          </w:p>
        </w:tc>
        <w:tc>
          <w:tcPr>
            <w:tcW w:w="5760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staff member whose name appears on the Murrumbidgee Council </w:t>
            </w:r>
            <w:r w:rsidR="00F2585A">
              <w:rPr>
                <w:rFonts w:ascii="Arial" w:hAnsi="Arial" w:cs="Arial"/>
                <w:sz w:val="24"/>
              </w:rPr>
              <w:t>credit card</w:t>
            </w:r>
          </w:p>
        </w:tc>
      </w:tr>
      <w:tr w:rsidR="00F11B60" w:rsidTr="00F11B60">
        <w:tc>
          <w:tcPr>
            <w:tcW w:w="3325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Expenses</w:t>
            </w:r>
          </w:p>
        </w:tc>
        <w:tc>
          <w:tcPr>
            <w:tcW w:w="5760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expense that is not for Murrumbidgee Council business purposes</w:t>
            </w:r>
          </w:p>
        </w:tc>
      </w:tr>
      <w:tr w:rsidR="00F11B60" w:rsidTr="00F11B60">
        <w:tc>
          <w:tcPr>
            <w:tcW w:w="3325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Reconcile</w:t>
            </w:r>
          </w:p>
        </w:tc>
        <w:tc>
          <w:tcPr>
            <w:tcW w:w="5760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processing of a card transaction and attaching all the relevant tax invoices, so as to allow for the correct cost allocation, GST and FBT treatment of the expense within the Murrumbidgee </w:t>
            </w:r>
            <w:r w:rsidR="00F2585A">
              <w:rPr>
                <w:rFonts w:ascii="Arial" w:hAnsi="Arial" w:cs="Arial"/>
                <w:sz w:val="24"/>
              </w:rPr>
              <w:t xml:space="preserve">Council </w:t>
            </w:r>
            <w:r>
              <w:rPr>
                <w:rFonts w:ascii="Arial" w:hAnsi="Arial" w:cs="Arial"/>
                <w:sz w:val="24"/>
              </w:rPr>
              <w:t>financial reporting system.</w:t>
            </w:r>
          </w:p>
        </w:tc>
      </w:tr>
      <w:tr w:rsidR="00F11B60" w:rsidTr="00F11B60">
        <w:tc>
          <w:tcPr>
            <w:tcW w:w="3325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Transaction Limit</w:t>
            </w:r>
          </w:p>
        </w:tc>
        <w:tc>
          <w:tcPr>
            <w:tcW w:w="5760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Maximum amount of expenditure allowed per month</w:t>
            </w:r>
          </w:p>
        </w:tc>
      </w:tr>
      <w:tr w:rsidR="00F11B60" w:rsidTr="00F11B60">
        <w:tc>
          <w:tcPr>
            <w:tcW w:w="3325" w:type="dxa"/>
          </w:tcPr>
          <w:p w:rsidR="00F11B60" w:rsidRPr="00F11B60" w:rsidRDefault="006638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Murrumbidgee Council Credit Card</w:t>
            </w:r>
          </w:p>
        </w:tc>
        <w:tc>
          <w:tcPr>
            <w:tcW w:w="5760" w:type="dxa"/>
          </w:tcPr>
          <w:p w:rsidR="00F11B60" w:rsidRPr="00F11B60" w:rsidRDefault="006763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provided by Murrumbidgee Council .</w:t>
            </w:r>
          </w:p>
        </w:tc>
      </w:tr>
    </w:tbl>
    <w:p w:rsidR="00E27049" w:rsidRDefault="00E27049"/>
    <w:sectPr w:rsidR="00E27049" w:rsidSect="00D25571">
      <w:headerReference w:type="default" r:id="rId15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21" w:rsidRDefault="00602321" w:rsidP="00824A8A">
      <w:pPr>
        <w:spacing w:before="0" w:after="0" w:line="240" w:lineRule="auto"/>
      </w:pPr>
      <w:r>
        <w:separator/>
      </w:r>
    </w:p>
  </w:endnote>
  <w:endnote w:type="continuationSeparator" w:id="0">
    <w:p w:rsidR="00602321" w:rsidRDefault="00602321" w:rsidP="00824A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F25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F2585A" w:rsidP="00F2585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5EF0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F2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21" w:rsidRDefault="00602321" w:rsidP="00824A8A">
      <w:pPr>
        <w:spacing w:before="0" w:after="0" w:line="240" w:lineRule="auto"/>
      </w:pPr>
      <w:r>
        <w:separator/>
      </w:r>
    </w:p>
  </w:footnote>
  <w:footnote w:type="continuationSeparator" w:id="0">
    <w:p w:rsidR="00602321" w:rsidRDefault="00602321" w:rsidP="00824A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F2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62018"/>
      <w:docPartObj>
        <w:docPartGallery w:val="Watermarks"/>
        <w:docPartUnique/>
      </w:docPartObj>
    </w:sdtPr>
    <w:sdtEndPr/>
    <w:sdtContent>
      <w:p w:rsidR="00F2585A" w:rsidRDefault="004E5EF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A" w:rsidRDefault="00F258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1" w:rsidRDefault="00F2585A" w:rsidP="00D25571">
    <w:pPr>
      <w:pStyle w:val="Header"/>
      <w:pBdr>
        <w:bottom w:val="single" w:sz="4" w:space="1" w:color="auto"/>
      </w:pBdr>
    </w:pPr>
    <w:r>
      <w:t>Credit Card Policy</w:t>
    </w:r>
  </w:p>
  <w:p w:rsidR="00602321" w:rsidRDefault="00602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F7C"/>
    <w:multiLevelType w:val="hybridMultilevel"/>
    <w:tmpl w:val="6790920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47429"/>
    <w:multiLevelType w:val="hybridMultilevel"/>
    <w:tmpl w:val="37D8E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5807"/>
    <w:multiLevelType w:val="hybridMultilevel"/>
    <w:tmpl w:val="76C00C1C"/>
    <w:lvl w:ilvl="0" w:tplc="96ACEE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B63D28"/>
    <w:multiLevelType w:val="hybridMultilevel"/>
    <w:tmpl w:val="C31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76E43"/>
    <w:multiLevelType w:val="hybridMultilevel"/>
    <w:tmpl w:val="96D014FA"/>
    <w:lvl w:ilvl="0" w:tplc="06008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8670B"/>
    <w:multiLevelType w:val="hybridMultilevel"/>
    <w:tmpl w:val="41DC21C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44E16"/>
    <w:multiLevelType w:val="hybridMultilevel"/>
    <w:tmpl w:val="B13CFDB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A7E22"/>
    <w:multiLevelType w:val="hybridMultilevel"/>
    <w:tmpl w:val="7AE6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241"/>
    <w:multiLevelType w:val="hybridMultilevel"/>
    <w:tmpl w:val="EA22C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B6A87"/>
    <w:multiLevelType w:val="hybridMultilevel"/>
    <w:tmpl w:val="2F7C1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90000"/>
    <w:multiLevelType w:val="hybridMultilevel"/>
    <w:tmpl w:val="54546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B2D74"/>
    <w:multiLevelType w:val="hybridMultilevel"/>
    <w:tmpl w:val="B28C4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20441"/>
    <w:multiLevelType w:val="hybridMultilevel"/>
    <w:tmpl w:val="5A803534"/>
    <w:lvl w:ilvl="0" w:tplc="0C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572EA"/>
    <w:multiLevelType w:val="hybridMultilevel"/>
    <w:tmpl w:val="7E200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E4BEC"/>
    <w:multiLevelType w:val="hybridMultilevel"/>
    <w:tmpl w:val="E70A1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42607"/>
    <w:multiLevelType w:val="hybridMultilevel"/>
    <w:tmpl w:val="44BA1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7B4DA9"/>
    <w:multiLevelType w:val="hybridMultilevel"/>
    <w:tmpl w:val="9376B102"/>
    <w:lvl w:ilvl="0" w:tplc="0C9AC86E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lowerLetter"/>
      <w:lvlText w:val="%5."/>
      <w:lvlJc w:val="left"/>
      <w:pPr>
        <w:ind w:left="3240" w:hanging="360"/>
      </w:pPr>
    </w:lvl>
    <w:lvl w:ilvl="5" w:tplc="04090005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decimal"/>
      <w:lvlText w:val="%7."/>
      <w:lvlJc w:val="left"/>
      <w:pPr>
        <w:ind w:left="4680" w:hanging="360"/>
      </w:pPr>
    </w:lvl>
    <w:lvl w:ilvl="7" w:tplc="04090003">
      <w:start w:val="1"/>
      <w:numFmt w:val="lowerLetter"/>
      <w:lvlText w:val="%8."/>
      <w:lvlJc w:val="left"/>
      <w:pPr>
        <w:ind w:left="5400" w:hanging="360"/>
      </w:pPr>
    </w:lvl>
    <w:lvl w:ilvl="8" w:tplc="04090005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32E92"/>
    <w:multiLevelType w:val="hybridMultilevel"/>
    <w:tmpl w:val="AB8E18D2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003A3"/>
    <w:multiLevelType w:val="hybridMultilevel"/>
    <w:tmpl w:val="75EC6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7350D"/>
    <w:multiLevelType w:val="hybridMultilevel"/>
    <w:tmpl w:val="6BF6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669D4"/>
    <w:multiLevelType w:val="hybridMultilevel"/>
    <w:tmpl w:val="865A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D472CA"/>
    <w:multiLevelType w:val="hybridMultilevel"/>
    <w:tmpl w:val="10920BFA"/>
    <w:lvl w:ilvl="0" w:tplc="0C090001">
      <w:start w:val="1"/>
      <w:numFmt w:val="lowerLetter"/>
      <w:lvlText w:val="%1."/>
      <w:lvlJc w:val="left"/>
      <w:pPr>
        <w:ind w:left="360" w:hanging="360"/>
      </w:p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>
      <w:start w:val="1"/>
      <w:numFmt w:val="lowerLetter"/>
      <w:lvlText w:val="%5."/>
      <w:lvlJc w:val="left"/>
      <w:pPr>
        <w:ind w:left="3240" w:hanging="360"/>
      </w:pPr>
    </w:lvl>
    <w:lvl w:ilvl="5" w:tplc="0C090005">
      <w:start w:val="1"/>
      <w:numFmt w:val="lowerRoman"/>
      <w:lvlText w:val="%6."/>
      <w:lvlJc w:val="right"/>
      <w:pPr>
        <w:ind w:left="3960" w:hanging="180"/>
      </w:pPr>
    </w:lvl>
    <w:lvl w:ilvl="6" w:tplc="0C090001">
      <w:start w:val="1"/>
      <w:numFmt w:val="decimal"/>
      <w:lvlText w:val="%7."/>
      <w:lvlJc w:val="left"/>
      <w:pPr>
        <w:ind w:left="4680" w:hanging="360"/>
      </w:pPr>
    </w:lvl>
    <w:lvl w:ilvl="7" w:tplc="0C090003">
      <w:start w:val="1"/>
      <w:numFmt w:val="lowerLetter"/>
      <w:lvlText w:val="%8."/>
      <w:lvlJc w:val="left"/>
      <w:pPr>
        <w:ind w:left="5400" w:hanging="360"/>
      </w:pPr>
    </w:lvl>
    <w:lvl w:ilvl="8" w:tplc="0C090005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F1498"/>
    <w:multiLevelType w:val="hybridMultilevel"/>
    <w:tmpl w:val="9760C116"/>
    <w:lvl w:ilvl="0" w:tplc="0C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AA5FA2"/>
    <w:multiLevelType w:val="hybridMultilevel"/>
    <w:tmpl w:val="F2A67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654FB5"/>
    <w:multiLevelType w:val="hybridMultilevel"/>
    <w:tmpl w:val="76B8EB8A"/>
    <w:lvl w:ilvl="0" w:tplc="D148347E">
      <w:start w:val="1"/>
      <w:numFmt w:val="bullet"/>
      <w:pStyle w:val="Report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52AE"/>
    <w:multiLevelType w:val="hybridMultilevel"/>
    <w:tmpl w:val="555C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3E001D"/>
    <w:multiLevelType w:val="hybridMultilevel"/>
    <w:tmpl w:val="0A98B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D1FD8"/>
    <w:multiLevelType w:val="hybridMultilevel"/>
    <w:tmpl w:val="D4428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67898"/>
    <w:multiLevelType w:val="hybridMultilevel"/>
    <w:tmpl w:val="720812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F60BAD"/>
    <w:multiLevelType w:val="hybridMultilevel"/>
    <w:tmpl w:val="3D44B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197AF6"/>
    <w:multiLevelType w:val="hybridMultilevel"/>
    <w:tmpl w:val="00C85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608D8"/>
    <w:multiLevelType w:val="hybridMultilevel"/>
    <w:tmpl w:val="F2D0C318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6964BE"/>
    <w:multiLevelType w:val="hybridMultilevel"/>
    <w:tmpl w:val="10A28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191A9E"/>
    <w:multiLevelType w:val="hybridMultilevel"/>
    <w:tmpl w:val="C608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0707C0"/>
    <w:multiLevelType w:val="hybridMultilevel"/>
    <w:tmpl w:val="31200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FE4F1B"/>
    <w:multiLevelType w:val="hybridMultilevel"/>
    <w:tmpl w:val="BCD4B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A1880"/>
    <w:multiLevelType w:val="hybridMultilevel"/>
    <w:tmpl w:val="47C2484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D514C"/>
    <w:multiLevelType w:val="hybridMultilevel"/>
    <w:tmpl w:val="6AAC9FC0"/>
    <w:lvl w:ilvl="0" w:tplc="F9FA730E">
      <w:start w:val="2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F97A1C"/>
    <w:multiLevelType w:val="hybridMultilevel"/>
    <w:tmpl w:val="F9DE5602"/>
    <w:lvl w:ilvl="0" w:tplc="0C090001">
      <w:start w:val="1"/>
      <w:numFmt w:val="lowerLetter"/>
      <w:lvlText w:val="%1."/>
      <w:lvlJc w:val="left"/>
      <w:pPr>
        <w:ind w:left="360" w:hanging="360"/>
      </w:p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>
      <w:start w:val="1"/>
      <w:numFmt w:val="lowerLetter"/>
      <w:lvlText w:val="%5."/>
      <w:lvlJc w:val="left"/>
      <w:pPr>
        <w:ind w:left="3240" w:hanging="360"/>
      </w:pPr>
    </w:lvl>
    <w:lvl w:ilvl="5" w:tplc="0C090005">
      <w:start w:val="1"/>
      <w:numFmt w:val="lowerRoman"/>
      <w:lvlText w:val="%6."/>
      <w:lvlJc w:val="right"/>
      <w:pPr>
        <w:ind w:left="3960" w:hanging="180"/>
      </w:pPr>
    </w:lvl>
    <w:lvl w:ilvl="6" w:tplc="0C090001">
      <w:start w:val="1"/>
      <w:numFmt w:val="decimal"/>
      <w:lvlText w:val="%7."/>
      <w:lvlJc w:val="left"/>
      <w:pPr>
        <w:ind w:left="4680" w:hanging="360"/>
      </w:pPr>
    </w:lvl>
    <w:lvl w:ilvl="7" w:tplc="0C090003">
      <w:start w:val="1"/>
      <w:numFmt w:val="lowerLetter"/>
      <w:lvlText w:val="%8."/>
      <w:lvlJc w:val="left"/>
      <w:pPr>
        <w:ind w:left="5400" w:hanging="360"/>
      </w:pPr>
    </w:lvl>
    <w:lvl w:ilvl="8" w:tplc="0C090005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A7FCD"/>
    <w:multiLevelType w:val="hybridMultilevel"/>
    <w:tmpl w:val="5AF8502A"/>
    <w:lvl w:ilvl="0" w:tplc="904E8B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222431"/>
    <w:multiLevelType w:val="hybridMultilevel"/>
    <w:tmpl w:val="68ECA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CA6F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00149"/>
    <w:multiLevelType w:val="hybridMultilevel"/>
    <w:tmpl w:val="CFB852B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705F30"/>
    <w:multiLevelType w:val="hybridMultilevel"/>
    <w:tmpl w:val="E5966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47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941DD8"/>
    <w:multiLevelType w:val="hybridMultilevel"/>
    <w:tmpl w:val="38D4708C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12"/>
  </w:num>
  <w:num w:numId="4">
    <w:abstractNumId w:val="4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23"/>
  </w:num>
  <w:num w:numId="10">
    <w:abstractNumId w:val="29"/>
  </w:num>
  <w:num w:numId="11">
    <w:abstractNumId w:val="27"/>
  </w:num>
  <w:num w:numId="12">
    <w:abstractNumId w:val="1"/>
  </w:num>
  <w:num w:numId="13">
    <w:abstractNumId w:val="36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42"/>
  </w:num>
  <w:num w:numId="18">
    <w:abstractNumId w:val="25"/>
  </w:num>
  <w:num w:numId="19">
    <w:abstractNumId w:val="34"/>
  </w:num>
  <w:num w:numId="20">
    <w:abstractNumId w:val="13"/>
  </w:num>
  <w:num w:numId="21">
    <w:abstractNumId w:val="3"/>
  </w:num>
  <w:num w:numId="22">
    <w:abstractNumId w:val="14"/>
  </w:num>
  <w:num w:numId="23">
    <w:abstractNumId w:val="4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4"/>
  </w:num>
  <w:num w:numId="30">
    <w:abstractNumId w:val="35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0"/>
  </w:num>
  <w:num w:numId="35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5"/>
  </w:num>
  <w:num w:numId="38">
    <w:abstractNumId w:val="6"/>
  </w:num>
  <w:num w:numId="39">
    <w:abstractNumId w:val="8"/>
  </w:num>
  <w:num w:numId="40">
    <w:abstractNumId w:val="7"/>
  </w:num>
  <w:num w:numId="41">
    <w:abstractNumId w:val="19"/>
  </w:num>
  <w:num w:numId="42">
    <w:abstractNumId w:val="26"/>
  </w:num>
  <w:num w:numId="43">
    <w:abstractNumId w:val="33"/>
  </w:num>
  <w:num w:numId="44">
    <w:abstractNumId w:val="2"/>
  </w:num>
  <w:num w:numId="45">
    <w:abstractNumId w:val="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2"/>
    <w:rsid w:val="0003705A"/>
    <w:rsid w:val="00091E98"/>
    <w:rsid w:val="000A42E6"/>
    <w:rsid w:val="000A597E"/>
    <w:rsid w:val="000A6605"/>
    <w:rsid w:val="000C1429"/>
    <w:rsid w:val="001174CD"/>
    <w:rsid w:val="00131E2F"/>
    <w:rsid w:val="00140353"/>
    <w:rsid w:val="001445A7"/>
    <w:rsid w:val="0015468C"/>
    <w:rsid w:val="00161896"/>
    <w:rsid w:val="00170DA4"/>
    <w:rsid w:val="0018080A"/>
    <w:rsid w:val="001C1DB5"/>
    <w:rsid w:val="001C4F6C"/>
    <w:rsid w:val="001D26D8"/>
    <w:rsid w:val="001F7467"/>
    <w:rsid w:val="00211576"/>
    <w:rsid w:val="00294DEC"/>
    <w:rsid w:val="002B3375"/>
    <w:rsid w:val="002B7BE9"/>
    <w:rsid w:val="003A4D70"/>
    <w:rsid w:val="004529AC"/>
    <w:rsid w:val="004B5045"/>
    <w:rsid w:val="004D7355"/>
    <w:rsid w:val="004E5EF0"/>
    <w:rsid w:val="004E5F92"/>
    <w:rsid w:val="00557C40"/>
    <w:rsid w:val="005840C4"/>
    <w:rsid w:val="0059024D"/>
    <w:rsid w:val="005B6FDA"/>
    <w:rsid w:val="005D24B0"/>
    <w:rsid w:val="00602321"/>
    <w:rsid w:val="006638A3"/>
    <w:rsid w:val="00676374"/>
    <w:rsid w:val="006A6376"/>
    <w:rsid w:val="007206C9"/>
    <w:rsid w:val="00722EE4"/>
    <w:rsid w:val="0073123A"/>
    <w:rsid w:val="007967E4"/>
    <w:rsid w:val="007B718A"/>
    <w:rsid w:val="007C54C2"/>
    <w:rsid w:val="007D490A"/>
    <w:rsid w:val="00824A8A"/>
    <w:rsid w:val="00851A26"/>
    <w:rsid w:val="008768B7"/>
    <w:rsid w:val="00957CC1"/>
    <w:rsid w:val="009A42BD"/>
    <w:rsid w:val="00AA227C"/>
    <w:rsid w:val="00AD3CCC"/>
    <w:rsid w:val="00AD7DE2"/>
    <w:rsid w:val="00BE63C3"/>
    <w:rsid w:val="00C37A54"/>
    <w:rsid w:val="00C63C2E"/>
    <w:rsid w:val="00CD3DA5"/>
    <w:rsid w:val="00CF0D88"/>
    <w:rsid w:val="00CF1C1F"/>
    <w:rsid w:val="00CF7185"/>
    <w:rsid w:val="00D25571"/>
    <w:rsid w:val="00D310DE"/>
    <w:rsid w:val="00D64848"/>
    <w:rsid w:val="00E27049"/>
    <w:rsid w:val="00E27590"/>
    <w:rsid w:val="00E43597"/>
    <w:rsid w:val="00EA0764"/>
    <w:rsid w:val="00EA28E2"/>
    <w:rsid w:val="00EA772D"/>
    <w:rsid w:val="00EC585D"/>
    <w:rsid w:val="00F06A74"/>
    <w:rsid w:val="00F11B60"/>
    <w:rsid w:val="00F2585A"/>
    <w:rsid w:val="00F25882"/>
    <w:rsid w:val="00F264AB"/>
    <w:rsid w:val="00F656A7"/>
    <w:rsid w:val="00FA6AE3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BD921E2-62FD-4420-BFD3-C49DF60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92"/>
    <w:pPr>
      <w:spacing w:before="80" w:after="80" w:line="276" w:lineRule="auto"/>
    </w:pPr>
    <w:rPr>
      <w:rFonts w:ascii="Calibri" w:eastAsia="Times New Roman" w:hAnsi="Calibri" w:cs="Times New Roman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F92"/>
    <w:pPr>
      <w:keepNext/>
      <w:keepLines/>
      <w:spacing w:before="400" w:after="0"/>
      <w:outlineLvl w:val="0"/>
    </w:pPr>
    <w:rPr>
      <w:b/>
      <w:bCs/>
      <w:color w:val="00929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F92"/>
    <w:pPr>
      <w:keepNext/>
      <w:keepLines/>
      <w:spacing w:before="160" w:after="0"/>
      <w:outlineLvl w:val="1"/>
    </w:pPr>
    <w:rPr>
      <w:b/>
      <w:bCs/>
      <w:color w:val="5959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F92"/>
    <w:rPr>
      <w:rFonts w:ascii="Calibri" w:eastAsia="Times New Roman" w:hAnsi="Calibri" w:cs="Times New Roman"/>
      <w:b/>
      <w:bCs/>
      <w:color w:val="00929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F92"/>
    <w:rPr>
      <w:rFonts w:ascii="Calibri" w:eastAsia="Times New Roman" w:hAnsi="Calibri" w:cs="Times New Roman"/>
      <w:b/>
      <w:bCs/>
      <w:color w:val="595959"/>
      <w:sz w:val="26"/>
      <w:szCs w:val="26"/>
      <w:lang w:bidi="en-US"/>
    </w:rPr>
  </w:style>
  <w:style w:type="character" w:styleId="Hyperlink">
    <w:name w:val="Hyperlink"/>
    <w:uiPriority w:val="99"/>
    <w:unhideWhenUsed/>
    <w:rsid w:val="004E5F92"/>
    <w:rPr>
      <w:color w:val="auto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C40"/>
    <w:pPr>
      <w:tabs>
        <w:tab w:val="left" w:pos="440"/>
        <w:tab w:val="left" w:pos="567"/>
        <w:tab w:val="left" w:pos="1134"/>
        <w:tab w:val="right" w:pos="9072"/>
      </w:tabs>
      <w:ind w:left="567" w:right="681"/>
    </w:pPr>
    <w:rPr>
      <w:rFonts w:ascii="Arial" w:hAnsi="Arial" w:cs="Arial"/>
      <w:noProof/>
      <w:sz w:val="22"/>
    </w:rPr>
  </w:style>
  <w:style w:type="paragraph" w:styleId="ListParagraph">
    <w:name w:val="List Paragraph"/>
    <w:basedOn w:val="Normal"/>
    <w:uiPriority w:val="34"/>
    <w:qFormat/>
    <w:rsid w:val="004E5F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F92"/>
    <w:pPr>
      <w:outlineLvl w:val="9"/>
    </w:pPr>
  </w:style>
  <w:style w:type="paragraph" w:customStyle="1" w:styleId="Reportbullets1">
    <w:name w:val="Report bullets 1"/>
    <w:basedOn w:val="Normal"/>
    <w:autoRedefine/>
    <w:rsid w:val="004E5F92"/>
    <w:pPr>
      <w:numPr>
        <w:numId w:val="1"/>
      </w:numPr>
      <w:spacing w:after="160"/>
    </w:pPr>
    <w:rPr>
      <w:rFonts w:ascii="Arial" w:hAnsi="Arial" w:cs="Arial"/>
    </w:rPr>
  </w:style>
  <w:style w:type="character" w:customStyle="1" w:styleId="GuidanceText">
    <w:name w:val="Guidance Text"/>
    <w:uiPriority w:val="1"/>
    <w:qFormat/>
    <w:rsid w:val="004E5F92"/>
    <w:rPr>
      <w:rFonts w:ascii="Calibri" w:hAnsi="Calibri" w:cs="Calibri" w:hint="default"/>
      <w:i/>
      <w:iCs w:val="0"/>
      <w:color w:val="1F497D"/>
    </w:rPr>
  </w:style>
  <w:style w:type="character" w:customStyle="1" w:styleId="Replacement">
    <w:name w:val="Replacement"/>
    <w:qFormat/>
    <w:rsid w:val="004E5F92"/>
    <w:rPr>
      <w:i/>
      <w:iCs w:val="0"/>
      <w:color w:val="FF0000"/>
      <w:szCs w:val="24"/>
    </w:rPr>
  </w:style>
  <w:style w:type="character" w:styleId="Emphasis">
    <w:name w:val="Emphasis"/>
    <w:basedOn w:val="DefaultParagraphFont"/>
    <w:uiPriority w:val="20"/>
    <w:qFormat/>
    <w:rsid w:val="004E5F92"/>
    <w:rPr>
      <w:i/>
      <w:iCs/>
    </w:rPr>
  </w:style>
  <w:style w:type="character" w:customStyle="1" w:styleId="GCCHeadingChar">
    <w:name w:val="GCCHeading Char"/>
    <w:basedOn w:val="DefaultParagraphFont"/>
    <w:link w:val="GCCHeading"/>
    <w:locked/>
    <w:rsid w:val="0059024D"/>
    <w:rPr>
      <w:rFonts w:ascii="Times New Roman" w:eastAsia="Times New Roman" w:hAnsi="Times New Roman" w:cs="Arial"/>
      <w:b/>
      <w:sz w:val="24"/>
      <w:szCs w:val="24"/>
      <w:lang w:eastAsia="en-AU"/>
    </w:rPr>
  </w:style>
  <w:style w:type="paragraph" w:customStyle="1" w:styleId="GCCHeading">
    <w:name w:val="GCCHeading"/>
    <w:basedOn w:val="Normal"/>
    <w:next w:val="Normal"/>
    <w:link w:val="GCCHeadingChar"/>
    <w:rsid w:val="0059024D"/>
    <w:pPr>
      <w:tabs>
        <w:tab w:val="left" w:pos="1980"/>
      </w:tabs>
      <w:spacing w:before="360" w:after="120" w:line="240" w:lineRule="auto"/>
      <w:ind w:left="1979" w:hanging="1979"/>
    </w:pPr>
    <w:rPr>
      <w:rFonts w:ascii="Times New Roman" w:hAnsi="Times New Roman" w:cs="Arial"/>
      <w:b/>
      <w:sz w:val="24"/>
      <w:szCs w:val="24"/>
      <w:lang w:eastAsia="en-AU" w:bidi="ar-SA"/>
    </w:rPr>
  </w:style>
  <w:style w:type="table" w:styleId="TableGrid">
    <w:name w:val="Table Grid"/>
    <w:basedOn w:val="TableNormal"/>
    <w:uiPriority w:val="39"/>
    <w:rsid w:val="0059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4A8A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24A8A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24A8A"/>
    <w:pPr>
      <w:widowControl w:val="0"/>
      <w:autoSpaceDE w:val="0"/>
      <w:autoSpaceDN w:val="0"/>
      <w:spacing w:before="0" w:after="0" w:line="240" w:lineRule="auto"/>
      <w:ind w:left="103"/>
    </w:pPr>
    <w:rPr>
      <w:rFonts w:ascii="Arial" w:eastAsia="Arial" w:hAnsi="Arial" w:cs="Arial"/>
      <w:sz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24A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8A"/>
    <w:rPr>
      <w:rFonts w:ascii="Calibri" w:eastAsia="Times New Roman" w:hAnsi="Calibri" w:cs="Times New Roman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4A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8A"/>
    <w:rPr>
      <w:rFonts w:ascii="Calibri" w:eastAsia="Times New Roman" w:hAnsi="Calibri" w:cs="Times New Roman"/>
      <w:sz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824A8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30CF-1F93-4A7F-B2F8-860C32C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219E49CF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Murrumbidgee Shire Council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Coates</dc:creator>
  <cp:lastModifiedBy>Heidi Bryce</cp:lastModifiedBy>
  <cp:revision>2</cp:revision>
  <cp:lastPrinted>2017-08-02T05:47:00Z</cp:lastPrinted>
  <dcterms:created xsi:type="dcterms:W3CDTF">2019-03-29T03:16:00Z</dcterms:created>
  <dcterms:modified xsi:type="dcterms:W3CDTF">2019-03-29T03:16:00Z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